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54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33A613F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055990A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5810066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79D36BA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02 августа 2023 года</w:t>
      </w:r>
    </w:p>
    <w:p w14:paraId="3ED68AC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4797310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0E41155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Ночью без существенных осадков, днем местами кратковременный дождь. Днём местами гроза, ночью и утром в отдельных районах туман. Ветер юго-восточный, южный, 4-9 м/с, при грозе порывы до 14 м/с. Температура воздуха по области: ночью +11°C…+16°C, днем +24°C…+29°C. В Смоленске: ночью +14°C…+16°C, днем +25°C…+27°C. Атмосферное давление 736 мм рт. столба, будет слабо падать.</w:t>
      </w:r>
    </w:p>
    <w:p w14:paraId="71DB7F3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0CAD5DE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148666 случая заболевания COVID-19 (прирост за неделю – 0 случаев).</w:t>
      </w:r>
    </w:p>
    <w:p w14:paraId="71F8C58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63, в том числе на амбулаторном лечении – 57, в условиях изоляции в специализированных медицинских учреждениях – 6.</w:t>
      </w:r>
    </w:p>
    <w:p w14:paraId="6FBEBEF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23.07.23 по 30.07.23 проведено лабораторных исследований – 2169722, в том числе за неделю – 200.</w:t>
      </w:r>
    </w:p>
    <w:p w14:paraId="03B1959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4EC4F68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7531B09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0E50891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0,11 - 0,15 (в Смоленске 0,15) мкЗв/час.</w:t>
      </w:r>
    </w:p>
    <w:p w14:paraId="42A90BE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6A3A8C1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+16°C.</w:t>
      </w:r>
    </w:p>
    <w:p w14:paraId="631DFD4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108AE80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3BF4672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2A27153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наблюдается: на территории 8-ти муниципальных образований (Смоленского, Рославльского, Ельнинского, Сафоновского, Вяземского и Велижского районов)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2 (малая)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19-и муниципальных образований —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(средний)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, .</w:t>
      </w:r>
    </w:p>
    <w:p w14:paraId="3866DAF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5CEA2D3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1ED54C6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+21°C…+28°C. Дорожное покрытие сухое, местами влажное.</w:t>
      </w:r>
    </w:p>
    <w:p w14:paraId="77E0F8C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0CB624E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42B23D3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3 раза, пострадавших нет. АППГ 15/0.</w:t>
      </w:r>
    </w:p>
    <w:p w14:paraId="4AE3EAA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Прогноз возникновения происшествий (ЧС)</w:t>
      </w:r>
    </w:p>
    <w:p w14:paraId="24AF04C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95731E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5121CB5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1883E9A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17A7AC5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168A9AE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5E659D4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при грозе порывы ветра до 14 м/с). С наибольшей вероятностью риск прогнозируется на территории Сафоновского, Вяземского и Новодугинского районов;</w:t>
      </w:r>
    </w:p>
    <w:p w14:paraId="7B50B02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при грозе порывы ветра до 14 м/с). С наибольшей вероятностью риск прогнозируется на территории Сафоновского, Вяземского и Новодугинского районов</w:t>
      </w:r>
    </w:p>
    <w:p w14:paraId="618364F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факторома, а также метеорологическими явлениями (источник — ночью и утром в отдельных районах туман).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районов.</w:t>
      </w:r>
    </w:p>
    <w:p w14:paraId="08C567F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183261D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5FDF8F20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1E82B6A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17A64AC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618FCF3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650E6FA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75DDB28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5517D27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0DF21A3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1BE3800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01B439A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7A15A29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2B0ABD7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56145E5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6673379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6D27B65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278A89A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08CEF2E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0648723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+16°C.</w:t>
      </w:r>
    </w:p>
    <w:p w14:paraId="24525E9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070423B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-риск подтопления приусадебных участков отсутствует.</w:t>
      </w:r>
    </w:p>
    <w:p w14:paraId="44DC1C2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переменная облачность. Ночью без существенных осадков, днем местами кратковременный дождь. Днём местами гроза, ночью и утром в отдельных районах туман.</w:t>
      </w:r>
    </w:p>
    <w:p w14:paraId="4B30956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21E061B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Руководителям органов местного самоуправления в режиме повседневной деятельности рекомендуется:</w:t>
      </w:r>
    </w:p>
    <w:p w14:paraId="3811866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135D8D2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06FD27C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38EBB48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457900C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4E1F771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828419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2B68F2F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743E58B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16DDE33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59623ECB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290FEA1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6293F68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61657D2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Смоленской области по телефонам 8(4812) 65-30-91, СОГБУ «Пожарно-спасательный центр» (Информационный центр) 8(4812) 62-44-44;</w:t>
      </w:r>
    </w:p>
    <w:p w14:paraId="0D7EE80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5899455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0B05F5C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7EB348C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3EFB166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4197B58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741CC24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0E5618C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18005A70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609A489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19E0854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</w:t>
      </w:r>
      <w:r>
        <w:rPr>
          <w:rFonts w:ascii="Arial" w:hAnsi="Arial" w:cs="Arial"/>
          <w:color w:val="483B3F"/>
          <w:sz w:val="23"/>
          <w:szCs w:val="23"/>
        </w:rPr>
        <w:lastRenderedPageBreak/>
        <w:t>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5565D14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3E1989F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74CFDE3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658DCBD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0BD2A0F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2A753E9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6EEE855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4F7F133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5910AA9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6F6DA15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5BD2BCA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3E9C21D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06CC1B4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5F3EBC7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04D12D5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</w:t>
      </w:r>
      <w:r>
        <w:rPr>
          <w:rFonts w:ascii="Arial" w:hAnsi="Arial" w:cs="Arial"/>
          <w:color w:val="483B3F"/>
          <w:sz w:val="23"/>
          <w:szCs w:val="23"/>
        </w:rPr>
        <w:lastRenderedPageBreak/>
        <w:t>предупреждению завоза и распространения новой коронавирусной инфекции, вызванной 2019-nCoV на территории Смоленской области».</w:t>
      </w:r>
    </w:p>
    <w:p w14:paraId="67C57C6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1E4384A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1F446B0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1ECA06F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477AFAE4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53F7D4A5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65A5934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1C102D1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339E8F7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64F2A65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4BE436D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0D18AAC7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065C5183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1EAFD16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5A021D5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1E2C44C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23588780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правилах безопасности при эксплуатации бытовых, газовых и нагревательных устройств;</w:t>
      </w:r>
    </w:p>
    <w:p w14:paraId="16530C3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0B08AE9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671DAB9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784BD10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0F9F2DAD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68A7EC6F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0D264D12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116770DA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48610F58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4E968CFE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00ABC6F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58FBB6C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4BA00F71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567D3FDC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1E07C4A6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полковник внутренней службы А.М. Михайловский</w:t>
      </w:r>
    </w:p>
    <w:p w14:paraId="2B0FD319" w14:textId="77777777" w:rsidR="00665E9E" w:rsidRDefault="00665E9E" w:rsidP="00665E9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01.08.2023</w:t>
      </w:r>
    </w:p>
    <w:p w14:paraId="6C3F395C" w14:textId="77777777" w:rsidR="00D05DCC" w:rsidRPr="00665E9E" w:rsidRDefault="00D05DCC" w:rsidP="00665E9E"/>
    <w:sectPr w:rsidR="00D05DCC" w:rsidRPr="0066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511BC5"/>
    <w:rsid w:val="00586CFD"/>
    <w:rsid w:val="00657885"/>
    <w:rsid w:val="00665E9E"/>
    <w:rsid w:val="007976D5"/>
    <w:rsid w:val="007A367F"/>
    <w:rsid w:val="009E5103"/>
    <w:rsid w:val="00C107E6"/>
    <w:rsid w:val="00D05DCC"/>
    <w:rsid w:val="00D770C8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2023-08-18T09:25:00Z</dcterms:created>
  <dcterms:modified xsi:type="dcterms:W3CDTF">2023-08-18T09:25:00Z</dcterms:modified>
</cp:coreProperties>
</file>